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0E" w:rsidRPr="00650C97" w:rsidRDefault="00C84D0E" w:rsidP="00C84D0E">
      <w:pPr>
        <w:rPr>
          <w:rFonts w:ascii="Times New Roman" w:hAnsi="Times New Roman" w:cs="Times New Roman"/>
          <w:b/>
          <w:sz w:val="24"/>
          <w:szCs w:val="24"/>
          <w:lang w:val="az-Latn-AZ"/>
        </w:rPr>
      </w:pPr>
      <w:r w:rsidRPr="00650C97">
        <w:rPr>
          <w:rFonts w:ascii="Times New Roman" w:hAnsi="Times New Roman" w:cs="Times New Roman"/>
          <w:b/>
          <w:sz w:val="24"/>
          <w:szCs w:val="24"/>
          <w:lang w:val="az-Latn-AZ"/>
        </w:rPr>
        <w:t>Qızıl analizi</w:t>
      </w:r>
    </w:p>
    <w:p w:rsidR="00C84D0E" w:rsidRPr="00650C97" w:rsidRDefault="00C84D0E" w:rsidP="00C84D0E">
      <w:pPr>
        <w:rPr>
          <w:rFonts w:ascii="Times New Roman" w:eastAsia="Times New Roman" w:hAnsi="Times New Roman" w:cs="Times New Roman"/>
          <w:color w:val="000000"/>
          <w:sz w:val="24"/>
          <w:szCs w:val="24"/>
          <w:lang w:val="az-Latn-AZ"/>
        </w:rPr>
      </w:pPr>
      <w:r w:rsidRPr="00650C97">
        <w:rPr>
          <w:rFonts w:ascii="Times New Roman" w:eastAsia="Times New Roman" w:hAnsi="Times New Roman" w:cs="Times New Roman"/>
          <w:color w:val="000000"/>
          <w:sz w:val="24"/>
          <w:szCs w:val="24"/>
          <w:lang w:val="az-Latn-AZ"/>
        </w:rPr>
        <w:t>ABŞ və Avropa indekslərinin yaranmış pozitiv iqtisadi göstər</w:t>
      </w:r>
      <w:r>
        <w:rPr>
          <w:rFonts w:ascii="Times New Roman" w:eastAsia="Times New Roman" w:hAnsi="Times New Roman" w:cs="Times New Roman"/>
          <w:color w:val="000000"/>
          <w:sz w:val="24"/>
          <w:szCs w:val="24"/>
          <w:lang w:val="az-Latn-AZ"/>
        </w:rPr>
        <w:t>icilər nəticəsində yüksəlməsi  q</w:t>
      </w:r>
      <w:r w:rsidRPr="00650C97">
        <w:rPr>
          <w:rFonts w:ascii="Times New Roman" w:eastAsia="Times New Roman" w:hAnsi="Times New Roman" w:cs="Times New Roman"/>
          <w:color w:val="000000"/>
          <w:sz w:val="24"/>
          <w:szCs w:val="24"/>
          <w:lang w:val="az-Latn-AZ"/>
        </w:rPr>
        <w:t>ızılın diqqət mərkəzindən kənarda qalmasını təmin edir. Dünən xam neftin dəyər itirməsinə baxmayaraq sarı metalda günü 1290 müqaviməti altında günü başa vurmuş oldu.</w:t>
      </w:r>
      <w:r>
        <w:rPr>
          <w:rFonts w:ascii="Times New Roman" w:eastAsia="Times New Roman" w:hAnsi="Times New Roman" w:cs="Times New Roman"/>
          <w:color w:val="000000"/>
          <w:sz w:val="24"/>
          <w:szCs w:val="24"/>
          <w:lang w:val="az-Latn-AZ"/>
        </w:rPr>
        <w:t xml:space="preserve"> Bu gün iqtisadi təqvimdə ABŞ</w:t>
      </w:r>
      <w:r w:rsidRPr="00650C97">
        <w:rPr>
          <w:rFonts w:ascii="Times New Roman" w:eastAsia="Times New Roman" w:hAnsi="Times New Roman" w:cs="Times New Roman"/>
          <w:color w:val="000000"/>
          <w:sz w:val="24"/>
          <w:szCs w:val="24"/>
          <w:lang w:val="az-Latn-AZ"/>
        </w:rPr>
        <w:t>–dan gələcək xəbərləri nəzərə alaraq bu xəbərlərin əmtəənin aktiv hərəkət etməsini təmin e</w:t>
      </w:r>
      <w:r>
        <w:rPr>
          <w:rFonts w:ascii="Times New Roman" w:eastAsia="Times New Roman" w:hAnsi="Times New Roman" w:cs="Times New Roman"/>
          <w:color w:val="000000"/>
          <w:sz w:val="24"/>
          <w:szCs w:val="24"/>
          <w:lang w:val="az-Latn-AZ"/>
        </w:rPr>
        <w:t>dəcək. Qrafikə gündəlik zaman in</w:t>
      </w:r>
      <w:r w:rsidRPr="00650C97">
        <w:rPr>
          <w:rFonts w:ascii="Times New Roman" w:eastAsia="Times New Roman" w:hAnsi="Times New Roman" w:cs="Times New Roman"/>
          <w:color w:val="000000"/>
          <w:sz w:val="24"/>
          <w:szCs w:val="24"/>
          <w:lang w:val="az-Latn-AZ"/>
        </w:rPr>
        <w:t>tervalında baxdıqda əmtəənin 1277 dəstəyi üzərində hərəkət etdiyi seyr edilir.  Əgər bu gün cütlük 1277 müqaviməti üzərində qalmağı davam edərsə bu əmtəənin yüksəliş ehtimalını bir addım yaxınlaşdırmış olacaq. Bu gün üçün əmtəəüçün aktiv hədəf kimi 1290 müqaviməti daha real hesab edilir.</w:t>
      </w:r>
    </w:p>
    <w:p w:rsidR="00C84D0E" w:rsidRPr="00650C97" w:rsidRDefault="00C84D0E" w:rsidP="00C84D0E">
      <w:pPr>
        <w:rPr>
          <w:rFonts w:ascii="Times New Roman" w:eastAsia="Times New Roman" w:hAnsi="Times New Roman" w:cs="Times New Roman"/>
          <w:color w:val="000000"/>
          <w:sz w:val="24"/>
          <w:szCs w:val="24"/>
        </w:rPr>
      </w:pPr>
      <w:r w:rsidRPr="00650C97">
        <w:rPr>
          <w:rFonts w:ascii="Times New Roman" w:eastAsia="Times New Roman" w:hAnsi="Times New Roman" w:cs="Times New Roman"/>
          <w:color w:val="000000"/>
          <w:sz w:val="24"/>
          <w:szCs w:val="24"/>
        </w:rPr>
        <w:t>Pivot: 1290</w:t>
      </w:r>
    </w:p>
    <w:p w:rsidR="00C84D0E" w:rsidRPr="00650C97" w:rsidRDefault="00C84D0E" w:rsidP="00C84D0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w:t>
      </w:r>
      <w:r w:rsidRPr="00650C97">
        <w:rPr>
          <w:rFonts w:ascii="Times New Roman" w:eastAsia="Times New Roman" w:hAnsi="Times New Roman" w:cs="Times New Roman"/>
          <w:color w:val="000000"/>
          <w:sz w:val="24"/>
          <w:szCs w:val="24"/>
        </w:rPr>
        <w:t>ə</w:t>
      </w:r>
      <w:r>
        <w:rPr>
          <w:rFonts w:ascii="Times New Roman" w:eastAsia="Times New Roman" w:hAnsi="Times New Roman" w:cs="Times New Roman"/>
          <w:color w:val="000000"/>
          <w:sz w:val="24"/>
          <w:szCs w:val="24"/>
        </w:rPr>
        <w:t>s</w:t>
      </w:r>
      <w:r w:rsidRPr="00650C97">
        <w:rPr>
          <w:rFonts w:ascii="Times New Roman" w:eastAsia="Times New Roman" w:hAnsi="Times New Roman" w:cs="Times New Roman"/>
          <w:color w:val="000000"/>
          <w:sz w:val="24"/>
          <w:szCs w:val="24"/>
        </w:rPr>
        <w:t>tək</w:t>
      </w:r>
      <w:proofErr w:type="spellEnd"/>
      <w:r w:rsidRPr="00650C97">
        <w:rPr>
          <w:rFonts w:ascii="Times New Roman" w:eastAsia="Times New Roman" w:hAnsi="Times New Roman" w:cs="Times New Roman"/>
          <w:color w:val="000000"/>
          <w:sz w:val="24"/>
          <w:szCs w:val="24"/>
        </w:rPr>
        <w:t>: 1277</w:t>
      </w:r>
      <w:proofErr w:type="gramStart"/>
      <w:r w:rsidRPr="00650C97">
        <w:rPr>
          <w:rFonts w:ascii="Times New Roman" w:eastAsia="Times New Roman" w:hAnsi="Times New Roman" w:cs="Times New Roman"/>
          <w:color w:val="000000"/>
          <w:sz w:val="24"/>
          <w:szCs w:val="24"/>
        </w:rPr>
        <w:t>,1260,1250</w:t>
      </w:r>
      <w:proofErr w:type="gramEnd"/>
    </w:p>
    <w:p w:rsidR="00C84D0E" w:rsidRPr="00650C97" w:rsidRDefault="00C84D0E" w:rsidP="00C84D0E">
      <w:pPr>
        <w:rPr>
          <w:rFonts w:ascii="Times New Roman" w:hAnsi="Times New Roman" w:cs="Times New Roman"/>
          <w:sz w:val="24"/>
          <w:szCs w:val="24"/>
          <w:lang w:val="az-Latn-AZ"/>
        </w:rPr>
      </w:pPr>
      <w:proofErr w:type="spellStart"/>
      <w:r w:rsidRPr="00650C97">
        <w:rPr>
          <w:rFonts w:ascii="Times New Roman" w:eastAsia="Times New Roman" w:hAnsi="Times New Roman" w:cs="Times New Roman"/>
          <w:color w:val="000000"/>
          <w:sz w:val="24"/>
          <w:szCs w:val="24"/>
        </w:rPr>
        <w:t>Müqavimət</w:t>
      </w:r>
      <w:proofErr w:type="spellEnd"/>
      <w:r w:rsidRPr="00650C97">
        <w:rPr>
          <w:rFonts w:ascii="Times New Roman" w:eastAsia="Times New Roman" w:hAnsi="Times New Roman" w:cs="Times New Roman"/>
          <w:color w:val="000000"/>
          <w:sz w:val="24"/>
          <w:szCs w:val="24"/>
        </w:rPr>
        <w:t>: 1290</w:t>
      </w:r>
      <w:proofErr w:type="gramStart"/>
      <w:r w:rsidRPr="00650C97">
        <w:rPr>
          <w:rFonts w:ascii="Times New Roman" w:eastAsia="Times New Roman" w:hAnsi="Times New Roman" w:cs="Times New Roman"/>
          <w:color w:val="000000"/>
          <w:sz w:val="24"/>
          <w:szCs w:val="24"/>
        </w:rPr>
        <w:t>,1306,1317</w:t>
      </w:r>
      <w:proofErr w:type="gramEnd"/>
    </w:p>
    <w:p w:rsidR="00C84D0E" w:rsidRPr="00650C97" w:rsidRDefault="00C84D0E" w:rsidP="00C84D0E">
      <w:pPr>
        <w:rPr>
          <w:rFonts w:ascii="Times New Roman" w:hAnsi="Times New Roman" w:cs="Times New Roman"/>
          <w:sz w:val="24"/>
          <w:szCs w:val="24"/>
          <w:lang w:val="az-Latn-AZ"/>
        </w:rPr>
      </w:pPr>
      <w:r w:rsidRPr="00650C97">
        <w:rPr>
          <w:rFonts w:ascii="Times New Roman" w:hAnsi="Times New Roman" w:cs="Times New Roman"/>
          <w:noProof/>
          <w:sz w:val="24"/>
          <w:szCs w:val="24"/>
        </w:rPr>
        <w:drawing>
          <wp:inline distT="0" distB="0" distL="0" distR="0" wp14:anchorId="5E2F72B9" wp14:editId="5D511612">
            <wp:extent cx="5943600" cy="3413084"/>
            <wp:effectExtent l="19050" t="0" r="0" b="0"/>
            <wp:docPr id="1" name="Рисунок 1" descr="C:\Users\Samir\Desktop\qizil anali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r\Desktop\qizil analizi.png"/>
                    <pic:cNvPicPr>
                      <a:picLocks noChangeAspect="1" noChangeArrowheads="1"/>
                    </pic:cNvPicPr>
                  </pic:nvPicPr>
                  <pic:blipFill>
                    <a:blip r:embed="rId4"/>
                    <a:srcRect/>
                    <a:stretch>
                      <a:fillRect/>
                    </a:stretch>
                  </pic:blipFill>
                  <pic:spPr bwMode="auto">
                    <a:xfrm>
                      <a:off x="0" y="0"/>
                      <a:ext cx="5943600" cy="3413084"/>
                    </a:xfrm>
                    <a:prstGeom prst="rect">
                      <a:avLst/>
                    </a:prstGeom>
                    <a:noFill/>
                    <a:ln w="9525">
                      <a:noFill/>
                      <a:miter lim="800000"/>
                      <a:headEnd/>
                      <a:tailEnd/>
                    </a:ln>
                  </pic:spPr>
                </pic:pic>
              </a:graphicData>
            </a:graphic>
          </wp:inline>
        </w:drawing>
      </w:r>
    </w:p>
    <w:p w:rsidR="00C84D0E" w:rsidRPr="00650C97" w:rsidRDefault="00C84D0E" w:rsidP="00C84D0E">
      <w:pPr>
        <w:rPr>
          <w:rFonts w:ascii="Times New Roman" w:hAnsi="Times New Roman" w:cs="Times New Roman"/>
          <w:sz w:val="24"/>
          <w:szCs w:val="24"/>
          <w:lang w:val="az-Latn-AZ"/>
        </w:rPr>
      </w:pPr>
    </w:p>
    <w:p w:rsidR="00C84D0E" w:rsidRPr="00650C97" w:rsidRDefault="00C84D0E" w:rsidP="00C84D0E">
      <w:pPr>
        <w:rPr>
          <w:rFonts w:ascii="Times New Roman" w:hAnsi="Times New Roman" w:cs="Times New Roman"/>
          <w:sz w:val="24"/>
          <w:szCs w:val="24"/>
          <w:lang w:val="az-Latn-AZ"/>
        </w:rPr>
      </w:pPr>
    </w:p>
    <w:p w:rsidR="00C84D0E" w:rsidRPr="00650C97" w:rsidRDefault="00C84D0E" w:rsidP="00C84D0E">
      <w:pPr>
        <w:rPr>
          <w:rFonts w:ascii="Times New Roman" w:hAnsi="Times New Roman" w:cs="Times New Roman"/>
          <w:sz w:val="24"/>
          <w:szCs w:val="24"/>
          <w:lang w:val="az-Latn-AZ"/>
        </w:rPr>
      </w:pPr>
    </w:p>
    <w:p w:rsidR="00414AA6" w:rsidRDefault="00414AA6">
      <w:bookmarkStart w:id="0" w:name="_GoBack"/>
      <w:bookmarkEnd w:id="0"/>
    </w:p>
    <w:sectPr w:rsidR="0041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0E"/>
    <w:rsid w:val="00414AA6"/>
    <w:rsid w:val="00C8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06B81-BDBE-4DB3-B635-8CDAB12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0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2014-04-03T05:55:00Z</dcterms:created>
  <dcterms:modified xsi:type="dcterms:W3CDTF">2014-04-03T05:55:00Z</dcterms:modified>
</cp:coreProperties>
</file>